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5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黑体" w:eastAsia="黑体" w:hAnsi="黑体" w:hint="default"/>
        </w:rPr>
        <w:t>附件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简体" w:hAnsi="方正小标宋简体" w:hint="default"/>
        </w:rPr>
        <w:t>嘉善县人才分层分类目录</w:t>
      </w:r>
    </w:p>
    <w:p>
      <w:pPr>
        <w:bidi w:val="0"/>
        <w:numPr>
          <w:ilvl w:val="0"/>
          <w:numId w:val="0"/>
        </w:numPr>
        <w:jc w:val="center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（试行）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44"/>
          <w:szCs w:val="44"/>
          <w:rFonts w:ascii="Times New Roman" w:eastAsia="方正小标宋_GBK" w:hAnsi="方正小标宋_GBK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1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顶尖人才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1．诺贝尔奖、菲尔兹奖、图灵奖等国际大奖获得者。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2．国家最高科学技术奖获得者。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3．中国科学院院士、中国工程院院士。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4．美国、日本、德国、法国、英国、意大利、加拿大、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瑞典、丹麦、挪威、芬兰、比利时、瑞士、奥地利、荷兰、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澳大利亚、新西兰、俄罗斯、新加坡、韩国、西班牙、印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度、乌克兰、以色列国家最高学术权威机构会员（一般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为member或fellow，统一翻译为“院士”）。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5．中国社会科学院学部委员、荣誉学部委员。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6．国家“万人计划”杰出人才。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7．在世界一流大学、发达国家国家实验室等科研机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构和世界知名企业实验室中担任重要职务的国际著名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学者。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8．相当于上述层次的人才。</w:t>
      </w:r>
    </w:p>
    <w:p>
      <w:pPr>
        <w:bidi w:val="0"/>
        <w:numPr>
          <w:ilvl w:val="0"/>
          <w:numId w:val="1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高端人才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（一）国家级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1．国家有突出贡献中青年专家；中国工艺美术大师；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国家级非物质文化遗产传承人；全国宣传文化系统“四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个一批”人才；全国工程勘察设计大师；“长江学者奖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励计划”特聘教授、国家级教学名师；国医大师；国家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级名老中医。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2．国家“万人计划”领军人才（包括科技创新领军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人才、科技创业领军人才、哲学社会科学领军人才、教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学名师和百千万工程领军人才）、国家“万人计划”青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年拔尖人才。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3．国家“千人计划”人才，包括创新人才长期项目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（含人文社科项目）、创新人才短期项目（含非华裔外国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人才）、创业人才项目、外国专家项目、青年人才项目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、顶尖人才与创新团队项目、文化艺术人才项目申报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入选者。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4．以下奖项获得者：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（1）国家自然科学奖一等奖主要完成人（前3位）、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国家自然科学奖二等奖前5名的主要完成人（前3位）；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（2）国家技术发明奖一等奖主要完成人（前3位）、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国家技术发明奖二等奖前5名的主要完成人（前3位）；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（3）国家科学技术进步奖特等奖主要完成人（前3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位）、国家科学技术进步奖一等奖前5名的主要完成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（4）国际科学技术合作奖获得者；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（5）中国青年科技奖、青年科学家奖获得者；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（6）茅盾文学奖、鲁迅文学奖获得者；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（7）中宣部“五个一工程”奖单项奖（文艺类图书、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电影、电视剧片、戏剧、歌曲）主要作者和主要演员（前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（8）吴阶平医学奖、中国医师奖获得者；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（9）孙冶方经济科学奖、金融创新奖著作奖、论文奖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获得者（前3位）；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（10）中国质量奖、中国质量奖提名奖获得者（个人）；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（11）中华技能大奖获得者。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5．以下职务担任者：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（1）国家科技重大专项专家组组长、副组长、项目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（课题）组长且项目（课题）通过验收；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（2）国家科技支撑（攻关）计划项目负责人；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（3）国家“973计划”项目首席科学家、承担研究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任务的项目专家组成员；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（4）国家“863计划”领域主题专家组组长、副组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长、召集人；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（5）国家实验室主任、副主任、学术委员会主任，国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家重点实验室主任、学术委员会主任，国家工程实验室、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国家工程（技术）研究中心、国家能源研发（实验）中心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主任；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（6）国家社会科学基金重大项目首席专家；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（7）全国专业标准化技术委员会主任委员；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（8）中国经济50人论坛、中国金融40人论坛、中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国人才50人论坛成员。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6．获得国家自然科学基金“国家杰出青年科学基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金项目”（含外籍）”资助的项目主持人并需完成项目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结题。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7．在Nature或Science上以第一作者或通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讯员作者发表论文者。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8．省“万人计划”杰出人才、省特级专家、省科学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技术重大贡献奖获得者。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9．相当于上述层次的人才。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（二）省级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1．国务院批准的享受政府特殊津贴人员、省有突出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贡献中青年专家、省“151”人才工程重点资助和第一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、第二层次培养人选、省“钱江学者”特聘教授、省特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级教师、省高校教学名师、基础教育正高级教师、卫生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部有突出贡献中青年专家、浙江省名中医、浙江省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325卫生人才工程入选者、省级非物质文化遗产传承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人、省宣传文化系统“五个一批”人才、全国技术能手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、国家级技能大师工作室领衔人、国家级高技能人才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（劳模）创新工作室领衔人、省首席技师、省级工艺美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术大师、省级建筑大师、省金融功勋人才、省金融创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新人才、省级以上社会工作领军人才。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2．省“千人计划”人才，包括创新人才长期项目、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海鸥计划、创业人才项目、外专千人项目申报入选者。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3．省“万人计划”领军人才（科技创新领军人才、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科技创业领军人才、人文社科领军人才、教学名师、高技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能领军人才、传统工艺领军人才）、省“万人计划”青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年拔尖人才。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4．省领军型创新创业团队负责人及团队核心成员。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5．省级“海外工程师”。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6．以下奖项获得者：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（1）国家科技进步奖二等奖前5名的主要完成人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（2）国家级教学成果奖一等奖前2名；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（3）中国“文华奖”单项奖（文华剧作奖、文华导演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奖、文华编导奖、文华音乐创作奖、文华舞台美术奖、文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华表演奖）一等奖、二等奖（前2位）；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（4）中国电影“华表奖”、中国电视剧“飞天奖”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主要作者（含编剧）、导演和主要演员（前3位）；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（5）IF设计奖、红点奖等国际工业设计大奖获得者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（须为设计人）；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（6）中国创新设计红心奖至尊奖、中国服装设计金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顶奖获得者（须为设计人）；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（7）中国专利奖（发明实用新型类、外观设计类）获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得者（须为发明人或设计人）；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（8）省自然科学奖一等奖主要完成人（前3位）、二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等奖前5名的主要完成人（前3位）；省技术发明奖一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等奖主要完成人（前3位）、二等奖前5名的主要完成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人（前3位）；省科技进步奖一等奖前5名的主要完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成人（前3位）；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（9）省“五个一”工程奖获得者（前3位完成人）；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（10）全国优秀教师获得者、省杰出教师获得者；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（11）省政府质量奖贡献奖获得者；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（12）钱江技能大奖获得者。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 xml:space="preserve">7．以下职务担任者： 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（1）国家科技重大专项专家组成员；项目（课题）第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一副组长、分课题组组长且项目（课题）通过验收；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（2）国家科技支撑（攻关）计划课题第一负责人，且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课题通过结题验收；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（3）国家“973计划”项目首席科学家助理、课题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组第一负责人，且课题通过结题验收；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（4）国家“863计划”主题项目或重大项目首席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专家，国家“863计划”专题组组长、副组长，且专题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通过验收；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（5）国家重点实验室、国家工程实验室、国家工程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（技术）研究中心、国家能源研发（实验）中心副主任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前2名，国家工程学术（技术）委员会主任，国家工程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实验室、国家能源研发（实验）中心学术委员会主任；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（6）国家社会科学基金优秀成果项目第一负责人；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（7）全国专业标准化技术委员会副主任委员。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8．获得国家自然科学基金“重点项目”、“重大项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目”、“重点国际（地区）合作研究项目”或“优秀青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年科学基金项目”资助的项目第一负责人，且项目通过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结题验收。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9．中国科学院“百人计划”人选。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10．全国优秀企业家；中国500强企业、中国民营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企业500强企业主要经营管理人才（特指职业经理人）；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个人所得税（工薪）年纳税额达到25万元人才。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11．市“南湖功勋”人才。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12．相当于上述层次的人才。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8"/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b w:val="1"/>
          <w:color w:val="auto"/>
          <w:position w:val="0"/>
          <w:sz w:val="32"/>
          <w:szCs w:val="32"/>
          <w:rFonts w:ascii="Times New Roman" w:eastAsia="楷体_GB2312" w:hAnsi="楷体_GB2312" w:hint="default"/>
        </w:rPr>
        <w:t>（三）市级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1．省“151”人才工程第三层次培养人选，市杰出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人才重点资助和第一层次培养人选，市名师名校长、市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教育领军人才、市教育名家、市名中医、市医学领军人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才培养人选，市级非物质文化遗产传承人，市宣传文化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系统“四个一批”人才，省级技能大师工作室领衔人，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省级高技能人才（劳模）创新工作室领衔人，省技术能手，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市首席技师。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2．市“创新嘉兴·精英引领计划”领军人才。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3．市领军型创新创业团队带头人及团队核心成员。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4．以下奖项获得者：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（1）嘉兴市科技创新人才获得者；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（2）市“五个一”工程奖获得者（前3位完成人）。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5．具有正高级专业技术职务任职资格，并作为主要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成员承担过市级以上研究课题或成果获市级以上奖励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的专业技术人才。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6．嘉兴市销售收入超50亿元企业的主要经营管理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人才（特指职业经理人）；个人所得税（工薪）年纳税额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达到10万元人才。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7．相当于上述层次的人才。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三、高级人才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1．“南湖百杰”优秀人才、市杰出人才第二层次培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养人选、市重点创新团队带头人及团队核心成员、市级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工艺美术大师、市级技能大师工作室领衔人、市级高技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能人才（劳模）创新工作室领衔人、市工人发明家。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2．其他具有正高级专业技术职务任职资格的专业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技术人才；具有副高级专业技术职务任职资格、并作为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主要成员承担过市级以上研究课题或成果获市级以上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奖励的专业技术人才。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3．具有高级技师职业资格证书，并作为主要成员承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担过市级以上研究课题或成果获市级以上奖励的技能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人才（含农村实用人才）。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4．具有高级社会工作师职业资格证书，并作为主要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成员承担过市级以上研究课题或成果获市级以上奖励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的社会工作人才。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5．嘉兴市销售收入超20亿元企业的主要经营管理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人才（特指职业经理人）。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6．在国内外核心期刊以第一作者或通讯员作者发</w:t>
      </w:r>
      <w:r>
        <w:rPr>
          <w:rStyle w:val="PO1"/>
          <w:spacing w:val="-6"/>
          <w:color w:val="auto"/>
          <w:position w:val="0"/>
          <w:sz w:val="32"/>
          <w:szCs w:val="32"/>
          <w:rFonts w:ascii="仿宋_GB2312" w:eastAsia="仿宋_GB2312" w:hAnsi="仿宋_GB2312" w:hint="default"/>
        </w:rPr>
        <w:t>表过重要学术论文的博士。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黑体" w:hAnsi="黑体" w:hint="default"/>
        </w:rPr>
        <w:t>四、基础人才</w:t>
      </w:r>
    </w:p>
    <w:p>
      <w:pPr>
        <w:bidi w:val="0"/>
        <w:numPr>
          <w:ilvl w:val="0"/>
          <w:numId w:val="0"/>
        </w:numPr>
        <w:jc w:val="both"/>
        <w:spacing w:lineRule="exact" w:line="560" w:before="0" w:after="0"/>
        <w:pageBreakBefore w:val="0"/>
        <w:ind w:right="0" w:firstLine="616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ff"/>
        <w:autoSpaceDE w:val="1"/>
        <w:autoSpaceDN w:val="1"/>
      </w:pP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其他具有中级以上技术职务任职资格的专业技术人</w:t>
      </w: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才、具有技师及以上证书的技能人才、具有全日制本科</w:t>
      </w:r>
      <w:r>
        <w:rPr>
          <w:rStyle w:val="PO1"/>
          <w:spacing w:val="-6"/>
          <w:color w:val="auto"/>
          <w:position w:val="0"/>
          <w:sz w:val="32"/>
          <w:szCs w:val="32"/>
          <w:rFonts w:ascii="Times New Roman" w:eastAsia="仿宋_GB2312" w:hAnsi="仿宋_GB2312" w:hint="default"/>
        </w:rPr>
        <w:t>及以上学历的人才。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headerReference w:type="default" r:id="rId5"/>
      <w:footerReference w:type="default" r:id="rId6"/>
      <w:pgSz w:w="11906" w:h="16838"/>
      <w:pgMar w:top="2098" w:left="1588" w:bottom="1985" w:right="1474" w:header="851" w:footer="1588" w:gutter="0"/>
      <w:pgNumType w:fmt="decimal"/>
      <w:pgBorders w:display="allPages" w:offsetFrom="text" w:zOrder="front"/>
      <w:docGrid w:type="linesAndChars" w:linePitch="579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framePr w:wrap="auto" w:hSpace="0" w:vSpace="0" w:hAnchor="margin" w:vAnchor="text" w:y="1"/>
      <w:bidi w:val="0"/>
      <w:numPr>
        <w:ilvl w:val="0"/>
        <w:numId w:val="0"/>
      </w:numPr>
      <w:jc w:val="left"/>
      <w:spacing w:lineRule="auto" w:line="240" w:before="0" w:after="0"/>
      <w:pageBreakBefore w:val="0"/>
      <w:ind w:left="320" w:right="320" w:firstLine="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wordWrap w:val="off"/>
      <w:snapToGrid w:val="off"/>
      <w:autoSpaceDE w:val="1"/>
      <w:autoSpaceDN w:val="1"/>
    </w:pP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8</w:t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fldChar w:fldCharType="end"/>
    </w:r>
    <w:r>
      <w:rPr>
        <w:rStyle w:val="PO151"/>
        <w:spacing w:val="0"/>
        <w:color w:val="auto"/>
        <w:position w:val="0"/>
        <w:sz w:val="28"/>
        <w:szCs w:val="28"/>
        <w:rFonts w:ascii="宋体" w:eastAsia="宋体" w:hAnsi="宋体" w:hint="default"/>
      </w:rPr>
      <w:t>—</w:t>
    </w:r>
  </w:p>
  <w:p>
    <w:pPr>
      <w:bidi w:val="0"/>
      <w:numPr>
        <w:ilvl w:val="0"/>
        <w:numId w:val="0"/>
      </w:numPr>
      <w:jc w:val="left"/>
      <w:spacing w:lineRule="auto" w:line="240" w:before="0" w:after="0"/>
      <w:pageBreakBefore w:val="0"/>
      <w:ind w:right="360" w:firstLine="360"/>
      <w:tabs>
        <w:tab w:val="center" w:pos="4153"/>
        <w:tab w:val="right" w:pos="8306"/>
      </w:tabs>
      <w:rPr>
        <w:rStyle w:val="PO151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ft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bidi w:val="0"/>
      <w:numPr>
        <w:ilvl w:val="0"/>
        <w:numId w:val="0"/>
      </w:numPr>
      <w:jc w:val="both"/>
      <w:spacing w:lineRule="auto" w:line="240" w:before="0" w:after="0"/>
      <w:pageBreakBefore w:val="0"/>
      <w:ind w:right="0" w:firstLine="0"/>
      <w:tabs>
        <w:tab w:val="center" w:pos="4153"/>
        <w:tab w:val="right" w:pos="8306"/>
      </w:tabs>
      <w:rPr>
        <w:rStyle w:val="PO153"/>
        <w:spacing w:val="0"/>
        <w:color w:val="auto"/>
        <w:position w:val="0"/>
        <w:sz w:val="18"/>
        <w:szCs w:val="18"/>
        <w:rFonts w:ascii="Times New Roman" w:eastAsia="仿宋_GB2312" w:hAnsi="仿宋_GB2312" w:hint="default"/>
      </w:rPr>
      <w:wordWrap w:val="off"/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autoSpaceDE w:val="1"/>
        <w:autoSpaceDN w:val="1"/>
        <w:ind w:left="1360" w:hanging="7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Times New Roman" w:eastAsia="黑体" w:hAnsi="Times New Roman"/>
        <w:rStyle w:val="PO1"/>
        <w:spacing w:val="-6"/>
        <w:sz w:val="32"/>
        <w:szCs w:val="32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14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9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23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74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316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358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400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4420" w:hanging="420"/>
        <w:kinsoku/>
        <w:numPr>
          <w:numId w:val="0"/>
          <w:ilvl w:val="0"/>
        </w:numPr>
        <w:overflowPunct/>
        <w:pageBreakBefore w:val="0"/>
        <w:textAlignment w:val="baseline"/>
        <w:widowControl/>
      </w:pPr>
      <w:rPr>
        <w:rFonts w:ascii="宋体" w:eastAsia="宋体" w:hAnsi="宋体"/>
        <w:rStyle w:val="PO1"/>
        <w:w w:val="100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shd w:val="clear"/>
      <w:sz w:val="18"/>
      <w:szCs w:val="18"/>
      <w:w w:val="100"/>
    </w:rPr>
  </w:style>
  <w:style w:customStyle="1" w:styleId="PO157" w:type="character">
    <w:name w:val="html-tag"/>
    <w:basedOn w:val="PO2"/>
    <w:uiPriority w:val="157"/>
  </w:style>
  <w:style w:customStyle="1" w:styleId="PO158" w:type="character">
    <w:name w:val="html-attribute-name"/>
    <w:basedOn w:val="PO2"/>
    <w:uiPriority w:val="158"/>
  </w:style>
  <w:style w:customStyle="1" w:styleId="PO159" w:type="character">
    <w:name w:val="html-attribute-value"/>
    <w:basedOn w:val="PO2"/>
    <w:uiPriority w:val="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6.xml"></Relationship><Relationship Id="rId6" Type="http://schemas.openxmlformats.org/officeDocument/2006/relationships/footer" Target="footer28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6</Lines>
  <LinksUpToDate>false</LinksUpToDate>
  <Pages>9</Pages>
  <Paragraphs>1</Paragraphs>
  <Words>131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hge</dc:creator>
  <cp:lastModifiedBy/>
  <dcterms:modified xsi:type="dcterms:W3CDTF">2017-08-24T03:17:00Z</dcterms:modified>
</cp:coreProperties>
</file>