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tabs>
          <w:tab w:val="center" w:pos="7001"/>
        </w:tabs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>附件1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仿宋" w:eastAsia="仿宋" w:hAnsi="仿宋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嘉善县工业企业人才指标解释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仿宋" w:eastAsia="仿宋" w:hAnsi="仿宋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3"/>
        </w:numPr>
        <w:jc w:val="both"/>
        <w:spacing w:lineRule="exact" w:line="560" w:before="0" w:after="0"/>
        <w:pageBreakBefore w:val="0"/>
        <w:ind w:right="0" w:firstLine="616"/>
        <w:tabs>
          <w:tab w:val="left" w:pos="1360"/>
        </w:tabs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顶尖人才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1.诺贝尔奖、图灵奖等国际大奖获得者。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2.国家最高科学技术奖获得者。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3.中国科学院院士、中国工程院院士。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4.美国、日本、德国、法国、英国、意大利、加拿大、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瑞典、丹麦、挪威、芬兰、比利时、瑞士、奥地利、荷兰、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澳大利亚、新西兰、俄罗斯、新加坡、韩国、西班牙、印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度、乌克兰、以色列国家最高学术权威机构会员（一般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为member或fellow，统一翻译为“院士”）。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5.中国社会科学院学部委员、荣誉学部委员。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6.国家“万人计划”杰出人才。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7.在世界一流大学、发达国家国家实验室等科研机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构和世界知名企业实验室中担任重要职务的国际著名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学者。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8.相当于上述层次的人才。</w:t>
      </w:r>
    </w:p>
    <w:p>
      <w:pPr>
        <w:bidi w:val="0"/>
        <w:numPr>
          <w:ilvl w:val="0"/>
          <w:numId w:val="3"/>
        </w:numPr>
        <w:jc w:val="both"/>
        <w:spacing w:lineRule="exact" w:line="560" w:before="0" w:after="0"/>
        <w:pageBreakBefore w:val="0"/>
        <w:ind w:right="0" w:firstLine="616"/>
        <w:tabs>
          <w:tab w:val="left" w:pos="1360"/>
        </w:tabs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高端人才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8"/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t>（一）国家级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1.国家有突出贡献中青年专家；中国工艺美术大师；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全国工程勘察设计大师；“长江学者奖励计划”特聘教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授。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2.国家“万人计划”领军人才（包括科技创新领军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人才、科技创业领军人才和百千万工程领军人才）、国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家“万人计划”青年拔尖人才。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3.国家“千人计划”人才，包括创新人才长期项目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（含人文社科项目）、创新人才短期项目（含非华裔外国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人才）、创业人才项目、外国专家项目、青年人才项目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、顶尖人才与创新团队项目。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4.以下奖项获得者：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（1）国家自然科学奖一等奖主要完成人（前3位）、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国家自然科学奖二等奖前5名的主要完成人（前3位）；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（2）国家技术发明奖一等奖主要完成人（前3位）、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国家技术发明奖二等奖前5名的主要完成人（前3位）；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（3）国家科学技术进步奖特等奖主要完成人（前3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位）、国家科学技术进步奖一等奖前5名的主要完成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（4）国际科学技术合作奖获得者；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（5）中国青年科技奖、青年科学家奖获得者；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（6）中国质量奖、中国质量奖提名奖获得者（个人）；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（7）中华技能大奖获得者。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5.以下职务担任者：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（1）国家科技重大专项专家组组长、副组长、项目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（课题）组长且项目（课题）通过验收；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（2）国家科技支撑（攻关）计划项目负责人；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（3）国家“973计划”项目首席科学家、承担研究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任务的项目专家组成员；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（4）国家“863计划”领域主题专家组组长、副组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长、召集人；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（5）国家实验室主任、副主任、学术委员会主任，国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家重点实验室主任、学术委员会主任，国家工程实验室、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国家工程（技术）研究中心、国家能源研发（实验）中心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主任；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（6）国家社会科学基金重大项目首席专家；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（7）全国专业标准化技术委员会主任委员；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（8）中国经济50人论坛、中国金融40人论坛、中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国人才50人论坛成员。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6.获得国家自然科学基金“国家杰出青年科学基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金项目”（含外籍）”资助的项目主持人并需完成项目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结题。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7.在Nature或Science上以第一作者或通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讯员作者发表论文者。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8.省“万人计划”杰出人才、省特级专家、省科学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技术重大贡献奖获得者。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9.相当于上述层次的人才。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8"/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t>（二）省级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1.国务院批准的享受政府特殊津贴人员、省有突出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贡献中青年专家、省“151”人才工程重点资助和第一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、第二层次培养人选、省“钱江学者”特聘教授、卫生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部有突出贡献中青年专家、全国技术能手、国家级技能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大师工作室领衔人、国家级高技能人才（劳模）创新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工作室领衔人、省首席技师、省级工艺美术大师、省级建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筑大师。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2.省“千人计划”人才，包括创新人才长期项目、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海鸥计划、创业人才项目、外专千人项目申报入选者。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3.省“万人计划”领军人才（科技创新领军人才、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科技创业领军人才、高技能领军人才、传统工艺领军人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才）、省“万人计划”青年拔尖人才。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4.省领军型创新创业团队负责人及团队核心成员。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5.省级“海外工程师”。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6.以下奖项获得者：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（1）国家科技进步奖二等奖前5名的主要完成人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（2）IF设计奖、红点奖等国际工业设计大奖获得者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（须为设计人）；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（3）中国创新设计红心奖至尊奖、中国服装设计金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顶奖获得者（须为设计人）；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（4）中国专利奖（发明实用新型类、外观设计类）获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得者（须为发明人或设计人）；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（5）省自然科学奖一等奖主要完成人（前3位）、二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等奖前5名的主要完成人（前3位）；省技术发明奖一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等奖主要完成人（前3位）、二等奖前5名的主要完成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人（前3位）；省科技进步奖一等奖前5名的主要完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成人（前3位）；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（6）省政府质量奖贡献奖获得者；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（7）钱江技能大奖获得者。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7.以下职务担任者：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（1）国家科技重大专项专家组成员；项目（课题）第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一副组长、分课题组组长且项目（课题）通过验收；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（2）国家科技支撑（攻关）计划课题第一负责人，且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课题通过结题验收；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（3）国家“973计划”项目首席科学家助理、课题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组第一负责人，且课题通过结题验收；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（4）国家“863计划”主题项目或重大项目首席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专家，国家“863计划”专题组组长、副组长，且专题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通过验收；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（5）国家重点实验室、国家工程实验室、国家工程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（技术）研究中心、国家能源研发（实验）中心副主任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前2名，国家工程学术（技术）委员会主任，国家工程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实验室、国家能源研发（实验）中心学术委员会主任；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（6）国家社会科学基金优秀成果项目第一负责人；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（7）全国专业标准化技术委员会副主任委员。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8.获得国家自然科学基金“重点项目”、“重大项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目”、“重点国际（地区）合作研究项目”或“优秀青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年科学基金项目”资助的项目第一负责人，且项目通过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结题验收。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9.中国科学院“百人计划”人选。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10.全国优秀企业家；中国500强企业、中国民营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企业500强企业主要经营管理人才（特指职业经理人）；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个人所得税（工薪）年纳税额达到25万元人才。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11.市“南湖功勋”人才。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12.相当于上述层次的人才。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8"/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t>（三）市级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1.省“151”人才工程第三层次培养人选，市杰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出人才重点资助和第一层次培养人选，省级技能大师工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作室领衔人，省级高技能人才（劳模）创新工作室领衔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人，省技术能手，市首席技师。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2.市“创新嘉兴·精英引领计划”领军人才。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3.市领军型创新创业团队带头人及团队核心成员。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4.市科技创新人才获得者。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5.具有正高级专业技术职务任职资格，并作为主要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成员承担过市级以上研究课题或成果获市级以上奖励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的专业技术人才。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6.嘉兴市销售收入超50亿元企业的主要经营管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理人才（特指职业经理人）；个人所得税（工薪）年纳税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额达到10万元人才。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7.相当于上述层次的人才。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三、高级人才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1.“南湖百杰”优秀人才、市杰出人才第二层次培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养人选、市重点创新团队带头人及团队核心成员、市级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工艺美术大师、市级技能大师工作室领衔人、市级高技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能人才（劳模）创新工作室领衔人、市工人发明家。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2.其他具有正高级专业技术职务任职资格的专业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技术人才；具有副高级专业技术职务任职资格、并作为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主要成员承担过市级以上研究课题或成果获市级以上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奖励的专业技术人才。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3.具有高级技师职业资格证书，并作为主要成员承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担过市级以上研究课题或成果获市级以上奖励的技能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人才（含农村实用人才）。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4.嘉兴市销售收入超20亿元企业的主要经营管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理人才（特指职业经理人）。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5.在国内外核心期刊以第一作者或通讯员作者发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表过重要学术论文的博士。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四、基础人才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0"/>
          <w:color w:val="auto"/>
          <w:position w:val="0"/>
          <w:sz w:val="21"/>
          <w:szCs w:val="21"/>
          <w:rFonts w:ascii="Times New Roman" w:eastAsia="宋体" w:hAnsi="宋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仿宋_GB2312" w:hAnsi="仿宋_GB2312" w:hint="default"/>
        </w:rPr>
        <w:t>其他具有中级以上技术职务任职资格的专业技术人</w:t>
      </w: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仿宋_GB2312" w:hAnsi="仿宋_GB2312" w:hint="default"/>
        </w:rPr>
        <w:t>才、具有技师及以上证书的技能人才、具有全日制本科</w:t>
      </w: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仿宋_GB2312" w:hAnsi="仿宋_GB2312" w:hint="default"/>
        </w:rPr>
        <w:t>及以上学历的人才。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tabs>
          <w:tab w:val="center" w:pos="7001"/>
        </w:tabs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2098" w:left="1588" w:bottom="1985" w:right="1474" w:header="851" w:footer="1588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auto" w:hSpace="0" w:vSpace="0" w:hAnchor="margin" w:vAnchor="text" w:y="1"/>
      <w:bidi w:val="0"/>
      <w:numPr>
        <w:ilvl w:val="0"/>
        <w:numId w:val="0"/>
      </w:numPr>
      <w:jc w:val="left"/>
      <w:spacing w:lineRule="auto" w:line="240" w:before="0" w:after="0"/>
      <w:pageBreakBefore w:val="0"/>
      <w:ind w:left="320" w:right="32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1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360" w:firstLine="36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both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3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Times New Roman" w:eastAsia="黑体" w:hAnsi="Times New Roman"/>
        <w:rStyle w:val="PO1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9."/>
    </w:lvl>
  </w:abstractNum>
  <w:abstractNum w:abstractNumId="1">
    <w:multiLevelType w:val="hybridMultilevel"/>
    <w:nsid w:val="000001"/>
    <w:tmpl w:val="004823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rStyle w:val="PO1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9."/>
    </w:lvl>
  </w:abstractNum>
  <w:abstractNum w:abstractNumId="2">
    <w:multiLevelType w:val="hybridMultilevel"/>
    <w:nsid w:val="000002"/>
    <w:tmpl w:val="0018BE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rStyle w:val="PO1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rStyle w:val="PO1"/>
        <w:w w:val="100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html-tag"/>
    <w:basedOn w:val="PO2"/>
    <w:uiPriority w:val="157"/>
  </w:style>
  <w:style w:customStyle="1" w:styleId="PO158" w:type="character">
    <w:name w:val="html-attribute-name"/>
    <w:basedOn w:val="PO2"/>
    <w:uiPriority w:val="158"/>
  </w:style>
  <w:style w:customStyle="1" w:styleId="PO159" w:type="character">
    <w:name w:val="html-attribute-value"/>
    <w:basedOn w:val="PO2"/>
    <w:uiPriority w:val="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6.xml"></Relationship><Relationship Id="rId6" Type="http://schemas.openxmlformats.org/officeDocument/2006/relationships/footer" Target="footer28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8</Pages>
  <Paragraphs>1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hge</dc:creator>
  <cp:lastModifiedBy/>
  <dcterms:modified xsi:type="dcterms:W3CDTF">2017-08-24T03:17:00Z</dcterms:modified>
</cp:coreProperties>
</file>