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both"/>
        <w:spacing w:lineRule="exact" w:line="560" w:before="0" w:after="0"/>
        <w:pageBreakBefore w:val="0"/>
        <w:ind w:right="0" w:firstLine="0"/>
        <w:tabs>
          <w:tab w:val="center" w:pos="7001"/>
        </w:tabs>
        <w:rPr>
          <w:rStyle w:val="PO1"/>
          <w:spacing w:val="0"/>
          <w:color w:val="000000"/>
          <w:position w:val="0"/>
          <w:sz w:val="32"/>
          <w:szCs w:val="32"/>
          <w:rFonts w:ascii="黑体" w:eastAsia="黑体" w:hAnsi="黑体" w:hint="default"/>
        </w:rPr>
        <w:wordWrap w:val="off"/>
        <w:snapToGrid w:val="off"/>
        <w:autoSpaceDE w:val="1"/>
        <w:autoSpaceDN w:val="1"/>
      </w:pPr>
      <w:r>
        <w:rPr>
          <w:rStyle w:val="PO1"/>
          <w:spacing w:val="0"/>
          <w:color w:val="000000"/>
          <w:position w:val="0"/>
          <w:sz w:val="32"/>
          <w:szCs w:val="32"/>
          <w:rFonts w:ascii="黑体" w:eastAsia="黑体" w:hAnsi="黑体" w:hint="default"/>
        </w:rPr>
        <w:t>附件2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tabs>
          <w:tab w:val="center" w:pos="7001"/>
        </w:tabs>
        <w:rPr>
          <w:rStyle w:val="PO1"/>
          <w:spacing w:val="0"/>
          <w:color w:val="000000"/>
          <w:position w:val="0"/>
          <w:sz w:val="44"/>
          <w:szCs w:val="44"/>
          <w:rFonts w:ascii="方正小标宋简体" w:eastAsia="方正小标宋简体" w:hAnsi="方正小标宋简体" w:hint="default"/>
        </w:rPr>
        <w:wordWrap w:val="off"/>
        <w:snapToGrid w:val="off"/>
        <w:autoSpaceDE w:val="1"/>
        <w:autoSpaceDN w:val="1"/>
      </w:pPr>
      <w:r>
        <w:rPr>
          <w:rStyle w:val="PO1"/>
          <w:spacing w:val="0"/>
          <w:color w:val="000000"/>
          <w:position w:val="0"/>
          <w:sz w:val="44"/>
          <w:szCs w:val="44"/>
          <w:rFonts w:ascii="方正小标宋简体" w:eastAsia="方正小标宋简体" w:hAnsi="方正小标宋简体" w:hint="default"/>
        </w:rPr>
        <w:t>嘉善县工业企业人才工作目标考核申报表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0"/>
        <w:pageBreakBefore w:val="0"/>
        <w:ind w:right="0" w:firstLine="600"/>
        <w:rPr>
          <w:rStyle w:val="PO1"/>
          <w:spacing w:val="0"/>
          <w:color w:val="000000"/>
          <w:position w:val="0"/>
          <w:sz w:val="24"/>
          <w:szCs w:val="24"/>
          <w:rFonts w:ascii="楷体_GB2312" w:eastAsia="楷体_GB2312" w:hAnsi="楷体_GB2312" w:hint="default"/>
        </w:rPr>
        <w:wordWrap w:val="off"/>
        <w:snapToGrid w:val="off"/>
        <w:autoSpaceDE w:val="1"/>
        <w:autoSpaceDN w:val="1"/>
      </w:pPr>
      <w:r>
        <w:rPr>
          <w:rStyle w:val="PO1"/>
          <w:spacing w:val="0"/>
          <w:color w:val="000000"/>
          <w:position w:val="0"/>
          <w:sz w:val="24"/>
          <w:szCs w:val="24"/>
          <w:rFonts w:ascii="楷体_GB2312" w:eastAsia="楷体_GB2312" w:hAnsi="楷体_GB2312" w:hint="default"/>
        </w:rPr>
        <w:t xml:space="preserve">企业名称：                  （盖章）                     所属镇（街道）：                  （盖章）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W w:w="13325" w:type="dxa"/>
        <w:jc w:val="center"/>
        <w:tblLook w:val="000600" w:firstRow="0" w:lastRow="0" w:firstColumn="0" w:lastColumn="0" w:noHBand="1" w:noVBand="1"/>
      </w:tblPr>
      <w:tblGrid>
        <w:gridCol w:w="460"/>
        <w:gridCol w:w="425"/>
        <w:gridCol w:w="2777"/>
        <w:gridCol w:w="6804"/>
        <w:gridCol w:w="992"/>
        <w:gridCol w:w="992"/>
        <w:gridCol w:w="875"/>
      </w:tblGrid>
      <w:tr>
        <w:trPr>
          <w:trHeight w:hRule="atleast" w:val="730"/>
          <w:cantSplit/>
          <w:hidden w:val="0"/>
        </w:trPr>
        <w:tc>
          <w:tcPr>
            <w:tcW w:type="dxa" w:w="46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考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核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指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标</w:t>
            </w:r>
          </w:p>
        </w:tc>
        <w:tc>
          <w:tcPr>
            <w:tcW w:type="dxa" w:w="3202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left="-105" w:right="-105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考核内容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left="-105" w:right="-105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考核分值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left="-105" w:right="-105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企业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left="-105" w:right="-105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自评得分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left="-105" w:right="-105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镇（街道）</w:t>
            </w: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初评得分</w:t>
            </w: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left="-105" w:right="-105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部门复</w:t>
            </w: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评得分</w:t>
            </w:r>
          </w:p>
        </w:tc>
      </w:tr>
      <w:tr>
        <w:trPr>
          <w:trHeight w:hRule="exact" w:val="567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才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机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制</w:t>
            </w:r>
          </w:p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2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设立企业人才组织机构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2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10分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-2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-2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exact" w:val="567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2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出台企业人才管理办法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2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10分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-2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-2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exact" w:val="567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2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制定企业人才发展规划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2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10分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-2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-2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exact" w:val="567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2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实施企业人才激励机制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2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10分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-2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-2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1021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才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增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量</w:t>
            </w:r>
          </w:p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刚性引才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顶尖人才50分/人，高端人才国家级、省级、市级分别40分/人、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30分/人、20分/人，高级人才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15分/人，基础人才3分/人，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吸纳嘉善籍全日制本科及以上毕业生就业4分/人、嘉善籍大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专毕业生就业每人计2分/人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1078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柔性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引才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“海外工程师” 顶尖人才50分/人，高端人才国家级、省级、市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级分别40分/人、30分/人、20分/人；“域外专家”顶尖人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才30分/人，高端人才国家级、省级、市级分别25分/人、20分/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人、15分/人，高级人才10分/人；“双休人才”顶尖人才20分/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人，高端人才国家级、省级分别15分/人、10分/人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767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人才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培养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研究生、副高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级职称或高级技师技能资格1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2分/人，本科学历、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中级职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称或技师技能资格6分/人，高级工技能资格4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分/人，大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专学历、初级职称2分/人，中级工技能资格1分/人                               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人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才流失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每流失1名人才按对应的层次及分值扣分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567"/>
          <w:cantSplit/>
          <w:hidden w:val="0"/>
        </w:trPr>
        <w:tc>
          <w:tcPr>
            <w:tcW w:type="dxa" w:w="46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考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核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指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标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才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存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量</w:t>
            </w:r>
          </w:p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人才结构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拥有的大专以上学历、中级以上职称、高级工以上技能资格的人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才占职工总数的比重达到30%计50分，按比例得分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567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人才数量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顶尖人才15分/人，高端人才国家级、省级、市级分别12分/人、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9分/人、6分/人，高级人才5分/人，基础人才1分/人。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1801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3202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人才平台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设有重点实验室，按国家、省级每家计50分、30分；设有企业博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士后科研工作站，按国家、省级每家计50分、30分，博士后在站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的计20分；设有市级外国专家工作站计30分，外国专家在站的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计20分；设有院士专家工作站,按省、市级每家计30分、10分；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设有省级重点企业研究院每家计20分，设有省级企业研究院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每家计10分；设有企业技术（研发）机构，按国家、省、市级每家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计50分、30分、10分；设有企业技术中心，按国家、省、市级每家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计50分、30分、10分；设有技能大师工作室，按国家、省、市级每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家计50分、30分、10分；被评为“三名”企业，按省、市级每家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计30分、20分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296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0006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达标考核得分（以上3项得分合计）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567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附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加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指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标</w:t>
            </w:r>
          </w:p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“千人计划”、“万人计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划”、精英引领计划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入选国家“千人计划”、“万人计划”，浙江省“千人计划”、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“万人计划”，“创新嘉兴·精英引领计划”每项分别计80、80，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60、60，40分  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254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科技奖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当年以第一完成单位获国家、省、市科技奖的每项分别计60、40、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30分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567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创新团队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组建企业自主创新团队并启动科研项目计10分，入选国家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、省、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市级领军型创新创业团队每项分别计100、80、60分，入选嘉兴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市重点创新团队每项计40分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567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主导制订、修订标准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当年主导制订、修订国际标准、国家标准、行业或省级地方标准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每项分别计30、20、10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分，当年参与制订、修订国际标准、国家标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准、行业或省级地方标准每项分别计15、10、5分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567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人才奖项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企业人才获县级以上人才奖项的，分别按国家、省、市、县级每人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计30、20、10、5分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567"/>
          <w:cantSplit/>
          <w:hidden w:val="0"/>
        </w:trPr>
        <w:tc>
          <w:tcPr>
            <w:tcW w:type="dxa" w:w="46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考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核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指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标</w:t>
            </w:r>
          </w:p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国外智力项目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引进国外智力项目当年获得国家或省级资助的，国家级每项计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20分、省级每项计10分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产学研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当年与高校、科研院所开展产学研合作的每项计10分，当年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招收清华大学博士生到我县基地参加社会实践的，每人计5分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416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2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77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发明专利</w:t>
            </w:r>
          </w:p>
        </w:tc>
        <w:tc>
          <w:tcPr>
            <w:tcW w:type="dxa" w:w="680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当年获得国家发明专利授权的每项计5分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335"/>
          <w:cantSplit/>
          <w:hidden w:val="0"/>
        </w:trPr>
        <w:tc>
          <w:tcPr>
            <w:tcW w:type="dxa" w:w="46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0006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评优考核项目总得分（以上4项得分合计）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  <w:tc>
          <w:tcPr>
            <w:tcW w:type="dxa" w:w="87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</w:p>
        </w:tc>
      </w:tr>
      <w:tr>
        <w:trPr>
          <w:trHeight w:hRule="atleast" w:val="431"/>
          <w:hidden w:val="0"/>
        </w:trPr>
        <w:tc>
          <w:tcPr>
            <w:tcW w:type="dxa" w:w="3662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考核结果审定</w:t>
            </w:r>
          </w:p>
        </w:tc>
        <w:tc>
          <w:tcPr>
            <w:tcW w:type="dxa" w:w="9663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0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县委人才工作领导小组                                （盖章）</w:t>
            </w:r>
          </w:p>
        </w:tc>
      </w:tr>
    </w:tbl>
    <w:p>
      <w:pPr>
        <w:bidi w:val="0"/>
        <w:numPr>
          <w:ilvl w:val="0"/>
          <w:numId w:val="0"/>
        </w:numPr>
        <w:jc w:val="center"/>
        <w:spacing w:lineRule="exact" w:line="300" w:before="0" w:after="0"/>
        <w:pageBreakBefore w:val="0"/>
        <w:ind w:right="0" w:firstLine="0"/>
        <w:rPr>
          <w:rStyle w:val="PO1"/>
          <w:spacing w:val="0"/>
          <w:color w:val="auto"/>
          <w:position w:val="0"/>
          <w:sz w:val="21"/>
          <w:szCs w:val="21"/>
          <w:rFonts w:ascii="Times New Roman" w:eastAsia="宋体" w:hAnsi="宋体" w:hint="default"/>
        </w:rPr>
        <w:wordWrap w:val="off"/>
        <w:snapToGrid w:val="off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footerReference w:type="default" r:id="rId5"/>
      <w:pgSz w:w="16838" w:h="11906" w:orient="landscape"/>
      <w:pgMar w:top="1134" w:left="1928" w:bottom="1134" w:right="2098" w:header="851" w:footer="1247" w:gutter="0"/>
      <w:pgNumType w:fmt="decimal"/>
      <w:pgBorders w:display="allPages" w:offsetFrom="text" w:zOrder="front"/>
      <w:docGrid w:type="lines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Noto Sans Mono CJK JP Regular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Noto Sans CJK JP Regular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楷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楷体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bidi w:val="0"/>
      <w:numPr>
        <w:ilvl w:val="0"/>
        <w:numId w:val="0"/>
      </w:numPr>
      <w:jc w:val="center"/>
      <w:spacing w:lineRule="auto" w:line="240" w:before="0" w:after="0"/>
      <w:pageBreakBefore w:val="0"/>
      <w:ind w:right="0" w:firstLine="0"/>
      <w:tabs>
        <w:tab w:val="center" w:pos="4153"/>
        <w:tab w:val="right" w:pos="8306"/>
      </w:tabs>
      <w:rPr>
        <w:rStyle w:val="PO151"/>
        <w:spacing w:val="0"/>
        <w:color w:val="auto"/>
        <w:position w:val="0"/>
        <w:sz w:val="24"/>
        <w:szCs w:val="24"/>
        <w:rFonts w:ascii="Times New Roman" w:eastAsia="仿宋_GB2312" w:hAnsi="仿宋_GB2312" w:hint="default"/>
      </w:rPr>
      <w:wordWrap w:val="off"/>
      <w:snapToGrid w:val="off"/>
      <w:autoSpaceDE w:val="1"/>
      <w:autoSpaceDN w:val="1"/>
    </w:pPr>
    <w:r>
      <w:rPr>
        <w:color w:val="auto"/>
        <w:position w:val="0"/>
        <w:sz w:val="21"/>
        <w:szCs w:val="21"/>
        <w:rFonts w:ascii="Calibri" w:eastAsia="宋体" w:hAnsi="宋体" w:hint="default"/>
      </w:rPr>
      <w:fldChar w:fldCharType="begin"/>
    </w:r>
    <w:r>
      <w:instrText>PAGE  \* MERGEFORMAT</w:instrText>
    </w:r>
    <w:r>
      <w:fldChar w:fldCharType="separate"/>
    </w:r>
    <w:r>
      <w:rPr>
        <w:rStyle w:val="PO151"/>
        <w:spacing w:val="0"/>
        <w:color w:val="auto"/>
        <w:position w:val="0"/>
        <w:sz w:val="24"/>
        <w:szCs w:val="24"/>
        <w:rFonts w:ascii="Times New Roman" w:eastAsia="仿宋_GB2312" w:hAnsi="仿宋_GB2312" w:hint="default"/>
      </w:rPr>
      <w:t>3</w:t>
    </w:r>
    <w:r>
      <w:rPr>
        <w:rStyle w:val="PO151"/>
        <w:spacing w:val="0"/>
        <w:color w:val="auto"/>
        <w:position w:val="0"/>
        <w:sz w:val="24"/>
        <w:szCs w:val="24"/>
        <w:rFonts w:ascii="Times New Roman" w:eastAsia="仿宋_GB2312" w:hAnsi="仿宋_GB2312" w:hint="default"/>
      </w:rPr>
      <w:fldChar w:fldCharType="end"/>
    </w:r>
  </w:p>
  <w:p>
    <w:pPr>
      <w:bidi w:val="0"/>
      <w:numPr>
        <w:ilvl w:val="0"/>
        <w:numId w:val="0"/>
      </w:numPr>
      <w:jc w:val="left"/>
      <w:spacing w:lineRule="auto" w:line="240" w:before="0" w:after="0"/>
      <w:pageBreakBefore w:val="0"/>
      <w:ind w:right="0" w:firstLine="0"/>
      <w:tabs>
        <w:tab w:val="center" w:pos="4153"/>
        <w:tab w:val="right" w:pos="8306"/>
      </w:tabs>
      <w:rPr>
        <w:rStyle w:val="PO151"/>
        <w:spacing w:val="0"/>
        <w:color w:val="auto"/>
        <w:position w:val="0"/>
        <w:sz w:val="18"/>
        <w:szCs w:val="18"/>
        <w:rFonts w:ascii="Times New Roman" w:eastAsia="仿宋_GB2312" w:hAnsi="仿宋_GB2312" w:hint="default"/>
      </w:rPr>
      <w:wordWrap w:val="off"/>
      <w:snapToGrid w:val="off"/>
      <w:autoSpaceDE w:val="1"/>
      <w:autoSpaceDN w:val="1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multilevel"/>
    <w:nsid w:val="000000"/>
    <w:tmpl w:val="000029"/>
    <w:lvl w:ilvl="0">
      <w:lvlJc w:val="left"/>
      <w:numFmt w:val="decimal"/>
      <w:start w:val="1"/>
      <w:suff w:val="tab"/>
      <w:pPr>
        <w:ind w:left="720" w:hanging="360"/>
        <w:jc w:val="both"/>
        <w:tabs>
          <w:tab w:val="left" w:pos="720"/>
        </w:tabs>
      </w:pPr>
      <w:lvlText w:val="%1."/>
    </w:lvl>
    <w:lvl w:ilvl="1">
      <w:lvlJc w:val="left"/>
      <w:numFmt w:val="decimal"/>
      <w:start w:val="1"/>
      <w:suff w:val="tab"/>
      <w:pPr>
        <w:ind w:left="1440" w:hanging="360"/>
        <w:jc w:val="both"/>
        <w:tabs>
          <w:tab w:val="left" w:pos="1440"/>
        </w:tabs>
      </w:pPr>
      <w:lvlText w:val="%2."/>
    </w:lvl>
    <w:lvl w:ilvl="2">
      <w:lvlJc w:val="left"/>
      <w:numFmt w:val="decimal"/>
      <w:start w:val="1"/>
      <w:suff w:val="tab"/>
      <w:pPr>
        <w:ind w:left="2160" w:hanging="360"/>
        <w:jc w:val="both"/>
        <w:tabs>
          <w:tab w:val="left" w:pos="2160"/>
        </w:tabs>
      </w:pPr>
      <w:lvlText w:val="%3."/>
    </w:lvl>
    <w:lvl w:ilvl="3">
      <w:lvlJc w:val="left"/>
      <w:numFmt w:val="decimal"/>
      <w:start w:val="1"/>
      <w:suff w:val="tab"/>
      <w:pPr>
        <w:ind w:left="2880" w:hanging="360"/>
        <w:jc w:val="both"/>
        <w:tabs>
          <w:tab w:val="left" w:pos="2880"/>
        </w:tabs>
      </w:pPr>
      <w:lvlText w:val="%4."/>
    </w:lvl>
    <w:lvl w:ilvl="4">
      <w:lvlJc w:val="left"/>
      <w:numFmt w:val="decimal"/>
      <w:start w:val="1"/>
      <w:suff w:val="tab"/>
      <w:pPr>
        <w:ind w:left="3600" w:hanging="360"/>
        <w:jc w:val="both"/>
        <w:tabs>
          <w:tab w:val="left" w:pos="3600"/>
        </w:tabs>
      </w:pPr>
      <w:lvlText w:val="%5."/>
    </w:lvl>
    <w:lvl w:ilvl="5">
      <w:lvlJc w:val="left"/>
      <w:numFmt w:val="decimal"/>
      <w:start w:val="1"/>
      <w:suff w:val="tab"/>
      <w:pPr>
        <w:ind w:left="4320" w:hanging="360"/>
        <w:jc w:val="both"/>
        <w:tabs>
          <w:tab w:val="left" w:pos="4320"/>
        </w:tabs>
      </w:pPr>
      <w:lvlText w:val="%6."/>
    </w:lvl>
    <w:lvl w:ilvl="6">
      <w:lvlJc w:val="left"/>
      <w:numFmt w:val="decimal"/>
      <w:start w:val="1"/>
      <w:suff w:val="tab"/>
      <w:pPr>
        <w:ind w:left="5040" w:hanging="360"/>
        <w:jc w:val="both"/>
        <w:tabs>
          <w:tab w:val="left" w:pos="5040"/>
        </w:tabs>
      </w:pPr>
      <w:lvlText w:val="%7."/>
    </w:lvl>
    <w:lvl w:ilvl="7">
      <w:lvlJc w:val="left"/>
      <w:numFmt w:val="decimal"/>
      <w:start w:val="1"/>
      <w:suff w:val="tab"/>
      <w:pPr>
        <w:ind w:left="5760" w:hanging="360"/>
        <w:jc w:val="both"/>
        <w:tabs>
          <w:tab w:val="left" w:pos="5760"/>
        </w:tabs>
      </w:pPr>
      <w:lvlText w:val="%8."/>
    </w:lvl>
    <w:lvl w:ilvl="8">
      <w:lvlJc w:val="left"/>
      <w:numFmt w:val="decimal"/>
      <w:start w:val="1"/>
      <w:suff w:val="tab"/>
      <w:pPr>
        <w:ind w:left="6480" w:hanging="360"/>
        <w:jc w:val="both"/>
        <w:tabs>
          <w:tab w:val="left" w:pos="6480"/>
        </w:tabs>
      </w:pPr>
      <w:lvlText w:val="%9.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compat w:val="0">
    <w:balanceSingleByteDoubleByteWidth/>
    <w:adjustLineHeightInTable/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basedOn w:val="PO1"/>
    <w:link w:val="PO158"/>
    <w:qFormat/>
    <w:uiPriority w:val="9"/>
    <w:pPr>
      <w:autoSpaceDE w:val="1"/>
      <w:autoSpaceDN w:val="1"/>
      <w:widowControl/>
      <w:wordWrap/>
    </w:pPr>
    <w:rPr>
      <w:rFonts w:ascii="宋体" w:eastAsia="宋体" w:hAnsi="宋体"/>
      <w:b/>
      <w:shd w:val="clear"/>
      <w:sz w:val="27"/>
      <w:szCs w:val="27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customStyle="1" w:styleId="PO151" w:type="character">
    <w:name w:val="html-attribute-name"/>
    <w:basedOn w:val="PO2"/>
    <w:uiPriority w:val="151"/>
  </w:style>
  <w:style w:customStyle="1" w:styleId="PO152" w:type="character">
    <w:name w:val="html-attribute-value"/>
    <w:basedOn w:val="PO2"/>
    <w:uiPriority w:val="152"/>
  </w:style>
  <w:style w:styleId="PO153" w:type="paragraph">
    <w:name w:val="header"/>
    <w:basedOn w:val="PO1"/>
    <w:link w:val="PO154"/>
    <w:uiPriority w:val="153"/>
    <w:semiHidden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4" w:type="character">
    <w:name w:val="页眉 Char"/>
    <w:basedOn w:val="PO2"/>
    <w:link w:val="PO153"/>
    <w:uiPriority w:val="154"/>
    <w:semiHidden/>
    <w:rPr>
      <w:shd w:val="clear"/>
      <w:sz w:val="18"/>
      <w:szCs w:val="18"/>
      <w:w w:val="100"/>
    </w:rPr>
  </w:style>
  <w:style w:styleId="PO155" w:type="paragraph">
    <w:name w:val="footer"/>
    <w:basedOn w:val="PO1"/>
    <w:link w:val="PO156"/>
    <w:uiPriority w:val="155"/>
    <w:semiHidden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6" w:type="character">
    <w:name w:val="页脚 Char"/>
    <w:basedOn w:val="PO2"/>
    <w:link w:val="PO155"/>
    <w:uiPriority w:val="156"/>
    <w:semiHidden/>
    <w:rPr>
      <w:shd w:val="clear"/>
      <w:sz w:val="18"/>
      <w:szCs w:val="18"/>
      <w:w w:val="100"/>
    </w:rPr>
  </w:style>
  <w:style w:customStyle="1" w:styleId="PO157" w:type="character">
    <w:name w:val="apple-converted-space"/>
    <w:basedOn w:val="PO2"/>
    <w:uiPriority w:val="157"/>
  </w:style>
  <w:style w:customStyle="1" w:styleId="PO158" w:type="character">
    <w:name w:val="标题 3 Char"/>
    <w:basedOn w:val="PO2"/>
    <w:link w:val="PO9"/>
    <w:uiPriority w:val="158"/>
    <w:rPr>
      <w:rFonts w:ascii="宋体" w:eastAsia="宋体" w:hAnsi="宋体"/>
      <w:b/>
      <w:shd w:val="clear"/>
      <w:sz w:val="27"/>
      <w:szCs w:val="27"/>
      <w:w w:val="100"/>
    </w:rPr>
  </w:style>
  <w:style w:styleId="PO159" w:type="paragraph">
    <w:name w:val="HTML Preformatted"/>
    <w:basedOn w:val="PO1"/>
    <w:link w:val="PO160"/>
    <w:uiPriority w:val="159"/>
    <w:unhideWhenUsed/>
    <w:pPr>
      <w:autoSpaceDE w:val="1"/>
      <w:autoSpaceDN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widowControl/>
      <w:wordWrap/>
    </w:pPr>
    <w:rPr>
      <w:rFonts w:ascii="宋体" w:eastAsia="宋体" w:hAnsi="宋体"/>
      <w:shd w:val="clear"/>
      <w:sz w:val="24"/>
      <w:szCs w:val="24"/>
      <w:w w:val="100"/>
    </w:rPr>
  </w:style>
  <w:style w:customStyle="1" w:styleId="PO160" w:type="character">
    <w:name w:val="HTML 预设格式 Char"/>
    <w:basedOn w:val="PO2"/>
    <w:link w:val="PO159"/>
    <w:uiPriority w:val="160"/>
    <w:rPr>
      <w:rFonts w:ascii="宋体" w:eastAsia="宋体" w:hAnsi="宋体"/>
      <w:shd w:val="clear"/>
      <w:sz w:val="24"/>
      <w:szCs w:val="24"/>
      <w:w w:val="100"/>
    </w:rPr>
  </w:style>
  <w:style w:customStyle="1" w:styleId="PO161" w:type="character">
    <w:name w:val="k"/>
    <w:basedOn w:val="PO2"/>
    <w:uiPriority w:val="161"/>
  </w:style>
  <w:style w:styleId="PO162" w:type="character">
    <w:name w:val="HTML Code"/>
    <w:basedOn w:val="PO2"/>
    <w:uiPriority w:val="162"/>
    <w:semiHidden/>
    <w:unhideWhenUsed/>
    <w:rPr>
      <w:rFonts w:ascii="宋体" w:eastAsia="宋体" w:hAnsi="宋体"/>
      <w:shd w:val="clear"/>
      <w:sz w:val="24"/>
      <w:szCs w:val="24"/>
      <w:w w:val="100"/>
    </w:rPr>
  </w:style>
  <w:style w:customStyle="1" w:styleId="PO163" w:type="character">
    <w:name w:val="o"/>
    <w:basedOn w:val="PO2"/>
    <w:uiPriority w:val="163"/>
  </w:style>
  <w:style w:customStyle="1" w:styleId="PO164" w:type="character">
    <w:name w:val="m"/>
    <w:basedOn w:val="PO2"/>
    <w:uiPriority w:val="164"/>
  </w:style>
  <w:style w:customStyle="1" w:styleId="PO165" w:type="character">
    <w:name w:val="p"/>
    <w:basedOn w:val="PO2"/>
    <w:uiPriority w:val="165"/>
  </w:style>
  <w:style w:customStyle="1" w:styleId="PO166" w:type="character">
    <w:name w:val="n"/>
    <w:basedOn w:val="PO2"/>
    <w:uiPriority w:val="166"/>
  </w:style>
  <w:style w:customStyle="1" w:styleId="PO167" w:type="character">
    <w:name w:val="html-tag"/>
    <w:basedOn w:val="PO2"/>
    <w:uiPriority w:val="167"/>
  </w:style>
  <w:style w:styleId="PO168" w:type="paragraph">
    <w:name w:val="Body Text"/>
    <w:basedOn w:val="PO1"/>
    <w:qFormat/>
    <w:uiPriority w:val="168"/>
    <w:pPr>
      <w:autoSpaceDE w:val="1"/>
      <w:autoSpaceDN w:val="1"/>
      <w:ind w:firstLine="0"/>
      <w:numPr>
        <w:numId w:val="0"/>
        <w:ilvl w:val="0"/>
      </w:numPr>
      <w:widowControl/>
      <w:wordWrap/>
    </w:pPr>
    <w:rPr>
      <w:rFonts w:ascii="Noto Sans Mono CJK JP Regular" w:eastAsia="Noto Sans Mono CJK JP Regular" w:hAnsi="Noto Sans Mono CJK JP Regular"/>
      <w:shd w:val="clear"/>
      <w:sz w:val="32"/>
      <w:szCs w:val="32"/>
      <w:w w:val="100"/>
    </w:rPr>
  </w:style>
  <w:style w:styleId="PO169" w:type="paragraph">
    <w:name w:val="Heading 1"/>
    <w:basedOn w:val="PO1"/>
    <w:qFormat/>
    <w:uiPriority w:val="169"/>
    <w:pPr>
      <w:autoSpaceDE w:val="1"/>
      <w:autoSpaceDN w:val="1"/>
      <w:ind w:left="150" w:right="279" w:firstLine="0"/>
      <w:numPr>
        <w:numId w:val="0"/>
        <w:ilvl w:val="0"/>
      </w:numPr>
      <w:widowControl/>
      <w:wordWrap/>
    </w:pPr>
    <w:rPr>
      <w:rFonts w:ascii="Noto Sans CJK JP Regular" w:eastAsia="Noto Sans CJK JP Regular" w:hAnsi="Noto Sans CJK JP Regular"/>
      <w:shd w:val="clear"/>
      <w:sz w:val="44"/>
      <w:szCs w:val="44"/>
      <w:w w:val="100"/>
    </w:rPr>
  </w:style>
  <w:style w:styleId="PO170" w:type="paragraph">
    <w:name w:val="Table Paragraph"/>
    <w:basedOn w:val="PO1"/>
    <w:qFormat/>
    <w:uiPriority w:val="170"/>
    <w:pPr>
      <w:autoSpaceDE w:val="1"/>
      <w:autoSpaceDN w:val="1"/>
      <w:ind w:firstLine="0"/>
      <w:numPr>
        <w:numId w:val="0"/>
        <w:ilvl w:val="0"/>
      </w:numPr>
      <w:widowControl/>
      <w:wordWrap/>
    </w:pPr>
    <w:rPr>
      <w:rFonts w:ascii="Noto Sans Mono CJK JP Regular" w:eastAsia="Noto Sans Mono CJK JP Regular" w:hAnsi="Noto Sans Mono CJK JP Regular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11</Lines>
  <LinksUpToDate>false</LinksUpToDate>
  <Pages>3</Pages>
  <Paragraphs>3</Paragraphs>
  <Words>231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fg</dc:creator>
  <cp:lastModifiedBy/>
  <dcterms:modified xsi:type="dcterms:W3CDTF">2016-07-11T10:26:00Z</dcterms:modified>
</cp:coreProperties>
</file>